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Calibri" w:hAnsi="Calibri" w:asciiTheme="minorHAnsi" w:cstheme="minorHAnsi" w:hAnsiTheme="minorHAnsi"/>
          <w:b/>
          <w:spacing w:val="2"/>
          <w:sz w:val="20"/>
          <w:szCs w:val="20"/>
        </w:rPr>
        <w:t>Royal General Store – Zoran Eliáš, Lužné 750, Luhačovice 763 26</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0" w:type="dxa"/>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 uzavření Smlouvy:</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Jméno a příjmení:</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Adresa:</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E-mailová adresa:</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596"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Specifikace Zboží, kterého se Smlouva týká:</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r>
        <w:trPr>
          <w:trHeight w:val="795" w:hRule="atLeast"/>
        </w:trPr>
        <w:tc>
          <w:tcPr>
            <w:tcW w:w="3396" w:type="dxa"/>
            <w:tcBorders/>
            <w:shd w:fill="auto" w:val="clear"/>
          </w:tcPr>
          <w:p>
            <w:pPr>
              <w:pStyle w:val="Normal"/>
              <w:spacing w:lineRule="auto" w:line="300" w:before="120" w:after="120"/>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Způsob pro navrácení obdržených finančních prostředků, případně uvedení čísla bankovního účtu:</w:t>
            </w:r>
          </w:p>
        </w:tc>
        <w:tc>
          <w:tcPr>
            <w:tcW w:w="5642" w:type="dxa"/>
            <w:tcBorders/>
            <w:shd w:fill="auto" w:val="clear"/>
          </w:tcPr>
          <w:p>
            <w:pPr>
              <w:pStyle w:val="Norma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highlight w:val="white"/>
        </w:rPr>
        <w:t>Royal General Store – Zoran Eliáš</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sz w:val="20"/>
          <w:szCs w:val="20"/>
        </w:rPr>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jc w:val="left"/>
    </w:pPr>
    <w:rPr>
      <w:rFonts w:ascii="Arial" w:hAnsi="Arial" w:eastAsia="Arial" w:cs="Arial"/>
      <w:color w:val="auto"/>
      <w:kern w:val="0"/>
      <w:sz w:val="22"/>
      <w:szCs w:val="22"/>
      <w:lang w:val="cs"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Neat_Office/6.2.8.2$Windows_x86 LibreOffice_project/</Application>
  <Pages>1</Pages>
  <Words>303</Words>
  <Characters>1816</Characters>
  <CharactersWithSpaces>2111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2022-12-27T17:00:01Z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